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2B4B" w:rsidRPr="00A62B4B" w:rsidRDefault="00A62B4B" w:rsidP="00A62B4B">
      <w:pPr>
        <w:spacing w:after="240" w:line="360" w:lineRule="auto"/>
        <w:ind w:firstLine="709"/>
        <w:jc w:val="both"/>
        <w:rPr>
          <w:sz w:val="28"/>
          <w:szCs w:val="28"/>
        </w:rPr>
      </w:pPr>
      <w:r w:rsidRPr="00A62B4B">
        <w:rPr>
          <w:sz w:val="28"/>
          <w:szCs w:val="28"/>
        </w:rPr>
        <w:t>Повышение надежности и вариативности защиты от резервирования на большие расстояния</w:t>
      </w:r>
    </w:p>
    <w:p w:rsidR="00A62B4B" w:rsidRPr="00A62B4B" w:rsidRDefault="00A62B4B" w:rsidP="00A62B4B">
      <w:pPr>
        <w:spacing w:after="240" w:line="360" w:lineRule="auto"/>
        <w:ind w:firstLine="709"/>
        <w:jc w:val="both"/>
        <w:rPr>
          <w:sz w:val="28"/>
          <w:szCs w:val="28"/>
        </w:rPr>
      </w:pPr>
      <w:r w:rsidRPr="00A62B4B">
        <w:rPr>
          <w:sz w:val="28"/>
          <w:szCs w:val="28"/>
        </w:rPr>
        <w:t>Минязов Ильназ Ильдарович1</w:t>
      </w:r>
    </w:p>
    <w:p w:rsidR="00A62B4B" w:rsidRPr="00A62B4B" w:rsidRDefault="00A62B4B" w:rsidP="00A62B4B">
      <w:pPr>
        <w:spacing w:after="240" w:line="360" w:lineRule="auto"/>
        <w:ind w:firstLine="709"/>
        <w:jc w:val="both"/>
        <w:rPr>
          <w:sz w:val="28"/>
          <w:szCs w:val="28"/>
        </w:rPr>
      </w:pPr>
      <w:r w:rsidRPr="00A62B4B">
        <w:rPr>
          <w:sz w:val="28"/>
          <w:szCs w:val="28"/>
        </w:rPr>
        <w:t>1 ФГБОУ ВО «КГЭУ», Казань, Республика Татарстан</w:t>
      </w:r>
    </w:p>
    <w:p w:rsidR="00A62B4B" w:rsidRPr="00A62B4B" w:rsidRDefault="00A62B4B" w:rsidP="00A62B4B">
      <w:pPr>
        <w:spacing w:after="240" w:line="360" w:lineRule="auto"/>
        <w:ind w:firstLine="709"/>
        <w:jc w:val="both"/>
        <w:rPr>
          <w:sz w:val="28"/>
          <w:szCs w:val="28"/>
        </w:rPr>
      </w:pPr>
      <w:r w:rsidRPr="00A62B4B">
        <w:rPr>
          <w:sz w:val="28"/>
          <w:szCs w:val="28"/>
          <w:lang w:val="en-US"/>
        </w:rPr>
        <w:t>ilnaz</w:t>
      </w:r>
      <w:r w:rsidRPr="00A62B4B">
        <w:rPr>
          <w:sz w:val="28"/>
          <w:szCs w:val="28"/>
        </w:rPr>
        <w:t>_</w:t>
      </w:r>
      <w:r w:rsidRPr="00A62B4B">
        <w:rPr>
          <w:sz w:val="28"/>
          <w:szCs w:val="28"/>
          <w:lang w:val="en-US"/>
        </w:rPr>
        <w:t>minyazov</w:t>
      </w:r>
      <w:r w:rsidRPr="00A62B4B">
        <w:rPr>
          <w:sz w:val="28"/>
          <w:szCs w:val="28"/>
        </w:rPr>
        <w:t>@</w:t>
      </w:r>
      <w:r w:rsidRPr="00A62B4B">
        <w:rPr>
          <w:sz w:val="28"/>
          <w:szCs w:val="28"/>
          <w:lang w:val="en-US"/>
        </w:rPr>
        <w:t>mail</w:t>
      </w:r>
      <w:r w:rsidRPr="00A62B4B">
        <w:rPr>
          <w:sz w:val="28"/>
          <w:szCs w:val="28"/>
        </w:rPr>
        <w:t>.</w:t>
      </w:r>
      <w:r w:rsidRPr="00A62B4B">
        <w:rPr>
          <w:sz w:val="28"/>
          <w:szCs w:val="28"/>
          <w:lang w:val="en-US"/>
        </w:rPr>
        <w:t>ru</w:t>
      </w:r>
    </w:p>
    <w:p w:rsidR="00A62B4B" w:rsidRPr="00A62B4B" w:rsidRDefault="00A62B4B" w:rsidP="00A62B4B">
      <w:pPr>
        <w:spacing w:after="240" w:line="360" w:lineRule="auto"/>
        <w:ind w:firstLine="709"/>
        <w:jc w:val="both"/>
        <w:rPr>
          <w:sz w:val="28"/>
          <w:szCs w:val="28"/>
        </w:rPr>
      </w:pPr>
    </w:p>
    <w:p w:rsidR="00A62B4B" w:rsidRPr="00A62B4B" w:rsidRDefault="00A62B4B" w:rsidP="00A62B4B">
      <w:pPr>
        <w:spacing w:after="240" w:line="360" w:lineRule="auto"/>
        <w:ind w:firstLine="709"/>
        <w:jc w:val="both"/>
        <w:rPr>
          <w:sz w:val="28"/>
          <w:szCs w:val="28"/>
        </w:rPr>
      </w:pPr>
      <w:r w:rsidRPr="00A62B4B">
        <w:rPr>
          <w:sz w:val="28"/>
          <w:szCs w:val="28"/>
        </w:rPr>
        <w:t>Аннотация: В настоящее время защита от избыточности на большие расстояния является важной защитой линии. Однако у него есть различные недостатки. Их устранение является основной задачей при использовании этой защиты.</w:t>
      </w:r>
    </w:p>
    <w:p w:rsidR="00A62B4B" w:rsidRPr="00A62B4B" w:rsidRDefault="00A62B4B" w:rsidP="00A62B4B">
      <w:pPr>
        <w:spacing w:after="240" w:line="360" w:lineRule="auto"/>
        <w:ind w:firstLine="709"/>
        <w:jc w:val="both"/>
        <w:rPr>
          <w:sz w:val="28"/>
          <w:szCs w:val="28"/>
        </w:rPr>
      </w:pPr>
      <w:r w:rsidRPr="00A62B4B">
        <w:rPr>
          <w:sz w:val="28"/>
          <w:szCs w:val="28"/>
        </w:rPr>
        <w:t>Ключевые слова: защита от избыточности на большие расстояния.</w:t>
      </w:r>
    </w:p>
    <w:p w:rsidR="00A62B4B" w:rsidRPr="00A62B4B" w:rsidRDefault="00A62B4B" w:rsidP="00A62B4B">
      <w:pPr>
        <w:spacing w:after="240" w:line="360" w:lineRule="auto"/>
        <w:ind w:firstLine="709"/>
        <w:jc w:val="both"/>
        <w:rPr>
          <w:sz w:val="28"/>
          <w:szCs w:val="28"/>
        </w:rPr>
      </w:pPr>
    </w:p>
    <w:p w:rsidR="00A62B4B" w:rsidRPr="00A62B4B" w:rsidRDefault="00A62B4B" w:rsidP="00A62B4B">
      <w:pPr>
        <w:spacing w:after="240" w:line="360" w:lineRule="auto"/>
        <w:ind w:firstLine="709"/>
        <w:jc w:val="both"/>
        <w:rPr>
          <w:sz w:val="28"/>
          <w:szCs w:val="28"/>
        </w:rPr>
      </w:pPr>
      <w:r w:rsidRPr="00A62B4B">
        <w:rPr>
          <w:sz w:val="28"/>
          <w:szCs w:val="28"/>
        </w:rPr>
        <w:t>Резервирование на большие расстояния - это резервирование на случай отказа защит или переключателей смежных сетевых элементов. Это резервирование обеспечивается средствами защиты (и автоматическими выключателями), установленными на других удаленных подстанциях. Защита с резервированием на большие расстояния предназначена для выборочного отключения линии электропередачи 35-220 кВ в случае коротких замыканий в силовых трансформаторах и на стороне низкого напряжения ответвительных подстанций.</w:t>
      </w:r>
    </w:p>
    <w:p w:rsidR="00A62B4B" w:rsidRPr="00A62B4B" w:rsidRDefault="00A62B4B" w:rsidP="00A62B4B">
      <w:pPr>
        <w:spacing w:after="240" w:line="360" w:lineRule="auto"/>
        <w:ind w:firstLine="709"/>
        <w:jc w:val="both"/>
        <w:rPr>
          <w:sz w:val="28"/>
          <w:szCs w:val="28"/>
        </w:rPr>
      </w:pPr>
      <w:r w:rsidRPr="00A62B4B">
        <w:rPr>
          <w:sz w:val="28"/>
          <w:szCs w:val="28"/>
        </w:rPr>
        <w:t>При реализации дальнодействующего резервирования защиты трансформаторов ответвительных подстанций возникает ряд проблем:</w:t>
      </w:r>
    </w:p>
    <w:p w:rsidR="00A62B4B" w:rsidRPr="00A62B4B" w:rsidRDefault="00A62B4B" w:rsidP="00A62B4B">
      <w:pPr>
        <w:spacing w:after="240" w:line="360" w:lineRule="auto"/>
        <w:ind w:firstLine="709"/>
        <w:jc w:val="both"/>
        <w:rPr>
          <w:sz w:val="28"/>
          <w:szCs w:val="28"/>
        </w:rPr>
      </w:pPr>
      <w:r w:rsidRPr="00A62B4B">
        <w:rPr>
          <w:sz w:val="28"/>
          <w:szCs w:val="28"/>
        </w:rPr>
        <w:t>• Отстройка от нагрузки (транзитных) линейных токов;</w:t>
      </w:r>
    </w:p>
    <w:p w:rsidR="00A62B4B" w:rsidRPr="00A62B4B" w:rsidRDefault="00A62B4B" w:rsidP="00A62B4B">
      <w:pPr>
        <w:spacing w:after="240" w:line="360" w:lineRule="auto"/>
        <w:ind w:firstLine="709"/>
        <w:jc w:val="both"/>
        <w:rPr>
          <w:sz w:val="28"/>
          <w:szCs w:val="28"/>
        </w:rPr>
      </w:pPr>
      <w:r w:rsidRPr="00A62B4B">
        <w:rPr>
          <w:sz w:val="28"/>
          <w:szCs w:val="28"/>
        </w:rPr>
        <w:t>• Выбор характеристик срабатывания реле сопротивления;</w:t>
      </w:r>
    </w:p>
    <w:p w:rsidR="00A62B4B" w:rsidRPr="00A62B4B" w:rsidRDefault="00A62B4B" w:rsidP="00A62B4B">
      <w:pPr>
        <w:spacing w:after="240" w:line="360" w:lineRule="auto"/>
        <w:ind w:firstLine="709"/>
        <w:jc w:val="both"/>
        <w:rPr>
          <w:sz w:val="28"/>
          <w:szCs w:val="28"/>
        </w:rPr>
      </w:pPr>
      <w:r w:rsidRPr="00A62B4B">
        <w:rPr>
          <w:sz w:val="28"/>
          <w:szCs w:val="28"/>
        </w:rPr>
        <w:lastRenderedPageBreak/>
        <w:t>• Координация с защитой линий и с защитой, установленной на отводах;</w:t>
      </w:r>
    </w:p>
    <w:p w:rsidR="00A62B4B" w:rsidRPr="00A62B4B" w:rsidRDefault="00A62B4B" w:rsidP="00A62B4B">
      <w:pPr>
        <w:spacing w:after="240" w:line="360" w:lineRule="auto"/>
        <w:ind w:firstLine="709"/>
        <w:jc w:val="both"/>
        <w:rPr>
          <w:sz w:val="28"/>
          <w:szCs w:val="28"/>
        </w:rPr>
      </w:pPr>
      <w:r w:rsidRPr="00A62B4B">
        <w:rPr>
          <w:sz w:val="28"/>
          <w:szCs w:val="28"/>
        </w:rPr>
        <w:t>• Диапазон изменения тока в аварийном режиме на линии превышает диапазон изменения тока при коротких замыканиях в трансформаторах ответвительных подстанций;</w:t>
      </w:r>
    </w:p>
    <w:p w:rsidR="00A62B4B" w:rsidRPr="00A62B4B" w:rsidRDefault="00A62B4B" w:rsidP="00A62B4B">
      <w:pPr>
        <w:spacing w:after="240" w:line="360" w:lineRule="auto"/>
        <w:ind w:firstLine="709"/>
        <w:jc w:val="both"/>
        <w:rPr>
          <w:sz w:val="28"/>
          <w:szCs w:val="28"/>
        </w:rPr>
      </w:pPr>
      <w:r w:rsidRPr="00A62B4B">
        <w:rPr>
          <w:sz w:val="28"/>
          <w:szCs w:val="28"/>
        </w:rPr>
        <w:t>• Необходимость учитывать наличие тяговой нагрузки на некоторых линиях.</w:t>
      </w:r>
    </w:p>
    <w:p w:rsidR="00A62B4B" w:rsidRPr="00A62B4B" w:rsidRDefault="00A62B4B" w:rsidP="00A62B4B">
      <w:pPr>
        <w:spacing w:after="240" w:line="360" w:lineRule="auto"/>
        <w:ind w:firstLine="709"/>
        <w:jc w:val="both"/>
        <w:rPr>
          <w:sz w:val="28"/>
          <w:szCs w:val="28"/>
        </w:rPr>
      </w:pPr>
      <w:r w:rsidRPr="00A62B4B">
        <w:rPr>
          <w:sz w:val="28"/>
          <w:szCs w:val="28"/>
        </w:rPr>
        <w:t>Чтобы уменьшить количество недостатков, за счет повышения чувствительности и расширения функциональных возможностей метода дальнего резервного копирования, авторы Лямец Юрий Яковлевич, Мартынов Михаил Владимирович, Воронов Павел Ильич, Макашкин Федор Анатольевич запатентовали один из способов достижения этих целей. Согласно способу, токи и напряжения фиксируются в начале линии. После этого используется модель линии передачи с входом в месте наблюдения и выходами в ответвлениях. Далее формируются двумерные сигналы, по одному для каждой ветви, и устанавливаются на плоскости каждого двумерного сигнала рабочей зоны защиты. Модель передачи выполнена с дополнительным выходом в конце линии и с основными выходами на шинах ответвлений нагрузок. Двумерные сигналы формируются в виде комплексных измерений, дополнительное измерение также определяется для конца линии, а основные измерения определяются для нагрузок ответвления. На плоскостях всех измерений устанавливаются зоны блокировки защиты. Если все измерения отображаются в соответствующих областях блокировки, то защита заблокирована, в противном случае операция защиты разрешена, если хотя бы одно основное измерение отображается в области его активации</w:t>
      </w:r>
    </w:p>
    <w:p w:rsidR="00302F09" w:rsidRPr="00A62B4B" w:rsidRDefault="00A62B4B" w:rsidP="00A62B4B">
      <w:pPr>
        <w:spacing w:after="240" w:line="360" w:lineRule="auto"/>
        <w:ind w:firstLine="709"/>
        <w:jc w:val="both"/>
        <w:rPr>
          <w:sz w:val="28"/>
          <w:szCs w:val="28"/>
        </w:rPr>
      </w:pPr>
      <w:r w:rsidRPr="00A62B4B">
        <w:rPr>
          <w:sz w:val="28"/>
          <w:szCs w:val="28"/>
        </w:rPr>
        <w:t>Этот метод позволяет защите от избыточности на большие расстояния стать более надежной и найти применение в большем количестве вариантов схемных реализаций.</w:t>
      </w:r>
      <w:bookmarkStart w:id="0" w:name="_GoBack"/>
      <w:bookmarkEnd w:id="0"/>
    </w:p>
    <w:sectPr w:rsidR="00302F09" w:rsidRPr="00A62B4B" w:rsidSect="00BB0E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7B0E"/>
    <w:rsid w:val="00115783"/>
    <w:rsid w:val="002246F2"/>
    <w:rsid w:val="00287B0E"/>
    <w:rsid w:val="00302F09"/>
    <w:rsid w:val="00392EEE"/>
    <w:rsid w:val="00A62B4B"/>
    <w:rsid w:val="00BB0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D9E20"/>
  <w15:docId w15:val="{E26647C0-9A71-437D-A50E-0F8F994F9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E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92EE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1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Тарасенко</dc:creator>
  <cp:keywords/>
  <dc:description/>
  <cp:lastModifiedBy>Kafedra</cp:lastModifiedBy>
  <cp:revision>4</cp:revision>
  <dcterms:created xsi:type="dcterms:W3CDTF">2022-10-23T18:45:00Z</dcterms:created>
  <dcterms:modified xsi:type="dcterms:W3CDTF">2022-11-02T09:30:00Z</dcterms:modified>
</cp:coreProperties>
</file>